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bCs w:val="1"/>
          <w:i w:val="0"/>
          <w:iCs w:val="0"/>
          <w:smallCaps w:val="0"/>
          <w:strike w:val="0"/>
          <w:color w:val="cc9900"/>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cc9900"/>
          <w:sz w:val="32"/>
          <w:szCs w:val="32"/>
          <w:u w:val="none"/>
          <w:shd w:fill="auto" w:val="clear"/>
          <w:vertAlign w:val="baseline"/>
          <w:rtl w:val="0"/>
        </w:rPr>
        <w:t xml:space="preserve">Dubái con Japón 2026</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DURACIÓN: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14 días / 10 noches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SALIDAS: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13 y 24 de mayo</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del 2026</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drawing>
          <wp:inline distB="0" distT="0" distL="0" distR="0">
            <wp:extent cx="1457651" cy="819928"/>
            <wp:effectExtent b="0" l="0" r="0" t="0"/>
            <wp:docPr descr="image5.png" id="7" name="image4.png"/>
            <a:graphic>
              <a:graphicData uri="http://schemas.openxmlformats.org/drawingml/2006/picture">
                <pic:pic>
                  <pic:nvPicPr>
                    <pic:cNvPr descr="image5.png" id="0" name="image4.png"/>
                    <pic:cNvPicPr preferRelativeResize="0"/>
                  </pic:nvPicPr>
                  <pic:blipFill>
                    <a:blip r:embed="rId6"/>
                    <a:srcRect b="0" l="0" r="0" t="0"/>
                    <a:stretch>
                      <a:fillRect/>
                    </a:stretch>
                  </pic:blipFill>
                  <pic:spPr>
                    <a:xfrm>
                      <a:off x="0" y="0"/>
                      <a:ext cx="1457651" cy="819928"/>
                    </a:xfrm>
                    <a:prstGeom prst="rect"/>
                    <a:ln/>
                  </pic:spPr>
                </pic:pic>
              </a:graphicData>
            </a:graphic>
          </wp:inline>
        </w:drawing>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drawing>
          <wp:inline distB="0" distT="0" distL="0" distR="0">
            <wp:extent cx="1227013" cy="816521"/>
            <wp:effectExtent b="0" l="0" r="0" t="0"/>
            <wp:docPr descr="image6.jpg" id="9" name="image2.jpg"/>
            <a:graphic>
              <a:graphicData uri="http://schemas.openxmlformats.org/drawingml/2006/picture">
                <pic:pic>
                  <pic:nvPicPr>
                    <pic:cNvPr descr="image6.jpg" id="0" name="image2.jpg"/>
                    <pic:cNvPicPr preferRelativeResize="0"/>
                  </pic:nvPicPr>
                  <pic:blipFill>
                    <a:blip r:embed="rId7"/>
                    <a:srcRect b="0" l="0" r="0" t="0"/>
                    <a:stretch>
                      <a:fillRect/>
                    </a:stretch>
                  </pic:blipFill>
                  <pic:spPr>
                    <a:xfrm>
                      <a:off x="0" y="0"/>
                      <a:ext cx="1227013" cy="816521"/>
                    </a:xfrm>
                    <a:prstGeom prst="rect"/>
                    <a:ln/>
                  </pic:spPr>
                </pic:pic>
              </a:graphicData>
            </a:graphic>
          </wp:inline>
        </w:drawing>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Pr>
        <w:drawing>
          <wp:inline distB="0" distT="0" distL="0" distR="0">
            <wp:extent cx="1503298" cy="845605"/>
            <wp:effectExtent b="0" l="0" r="0" t="0"/>
            <wp:docPr descr="image2.jpg" id="8" name="image5.jpg"/>
            <a:graphic>
              <a:graphicData uri="http://schemas.openxmlformats.org/drawingml/2006/picture">
                <pic:pic>
                  <pic:nvPicPr>
                    <pic:cNvPr descr="image2.jpg" id="0" name="image5.jpg"/>
                    <pic:cNvPicPr preferRelativeResize="0"/>
                  </pic:nvPicPr>
                  <pic:blipFill>
                    <a:blip r:embed="rId8"/>
                    <a:srcRect b="0" l="0" r="0" t="0"/>
                    <a:stretch>
                      <a:fillRect/>
                    </a:stretch>
                  </pic:blipFill>
                  <pic:spPr>
                    <a:xfrm>
                      <a:off x="0" y="0"/>
                      <a:ext cx="1503298" cy="845605"/>
                    </a:xfrm>
                    <a:prstGeom prst="rect"/>
                    <a:ln/>
                  </pic:spPr>
                </pic:pic>
              </a:graphicData>
            </a:graphic>
          </wp:inline>
        </w:drawing>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4343400</wp:posOffset>
            </wp:positionH>
            <wp:positionV relativeFrom="paragraph">
              <wp:posOffset>0</wp:posOffset>
            </wp:positionV>
            <wp:extent cx="1204858" cy="834566"/>
            <wp:effectExtent b="0" l="0" r="0" t="0"/>
            <wp:wrapNone/>
            <wp:docPr descr="image4.jpg" id="6" name="image6.jpg"/>
            <a:graphic>
              <a:graphicData uri="http://schemas.openxmlformats.org/drawingml/2006/picture">
                <pic:pic>
                  <pic:nvPicPr>
                    <pic:cNvPr descr="image4.jpg" id="0" name="image6.jpg"/>
                    <pic:cNvPicPr preferRelativeResize="0"/>
                  </pic:nvPicPr>
                  <pic:blipFill>
                    <a:blip r:embed="rId9"/>
                    <a:srcRect b="0" l="0" r="0" t="0"/>
                    <a:stretch>
                      <a:fillRect/>
                    </a:stretch>
                  </pic:blipFill>
                  <pic:spPr>
                    <a:xfrm>
                      <a:off x="0" y="0"/>
                      <a:ext cx="1204858" cy="834566"/>
                    </a:xfrm>
                    <a:prstGeom prst="rect"/>
                    <a:ln/>
                  </pic:spPr>
                </pic:pic>
              </a:graphicData>
            </a:graphic>
          </wp:anchor>
        </w:drawing>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bCs w:val="1"/>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bCs w:val="1"/>
          <w:i w:val="0"/>
          <w:iCs w:val="0"/>
          <w:smallCaps w:val="0"/>
          <w:strike w:val="0"/>
          <w:color w:val="cc99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cc9900"/>
          <w:sz w:val="22"/>
          <w:szCs w:val="22"/>
          <w:u w:val="none"/>
          <w:shd w:fill="auto" w:val="clear"/>
          <w:vertAlign w:val="baseline"/>
          <w:rtl w:val="0"/>
        </w:rPr>
        <w:t xml:space="preserve">ITINERARIO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01: MÉXICO – DUBÁI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Cita en el aeropuerto de la Ciudad de México para tomar vuelo con destino a Dubái. Noche a bordo.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02: DUBÁI</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Llegada al aeropuerto de Dubái. Recepción y traslado al hotel. Alojamiento.</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03: DUBÁI (VISITA OPCIONAL CIUDAD ANTIGUA Y MODERNA)</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Desayuno en el hotel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Día libre, con posibilidad de realizar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visita opcional (con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 la parte clásica de la antigua y moderna ciudad de Dubái. Salida hacia Jumeirah Beach para una vista del gran hotel “Burj el Arab” de 7 estrellas, luego salida hacia Burj Khalifa</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visita opcional (con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Subida al mirador; continuación a Palm Jumeirah para una visita panorámica del nuevo elegante hotel "Atlantis". Continuación hacia la calle del Sheikh Zayed-El Manhattan de Dubái, para una visita panorámica de sus espléndidas casas e impresionante arquitectura. Visita de la mezquita El Jumeirah. Seguida por la visita de la cala de Dubái con un paseo en el taxi acuático. Luego visita el mercado de oro, el mercado de las especies y el zoco. Regreso al hotel. Por la noche,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visita opcional (con costo adicional)</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cena en el barco "Dhow Cruise".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Alojamiento.</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NOTA: La visita de Burj Khalifa se hace dependiendo de la hora de las entradas; puede ser al principio de la visita o al fin de la visita de medio día. Dubái clásico y moderno.</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04: DUBÁI (OPCIONAL SAFARI 4X4 CON CENA BBQ)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Desayuno en el hotel.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Mañana libre. Por la tarde sugerimos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la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visita opcional (con costo adicional)</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SAFARI 4X4 y cena BBQ: Los Landcruiser los recogerán para un excitante trayecto por las fantásticas altas dunas. Podrá hacer unas fotos únicas de la puesta de sol árabe. Una vez que desaparezca el sol, detrás de las dunas de arena dorada, nos dirigiremos a nuestro campo en el desierto. Además del paseo en camello, el sandboard y el ataque a las dunas. Cena en el desierto</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Regreso al Hotel. Alojamiento.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05: DUBÁI – NARITA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VISITA OPCIONAL ABU DHABI)</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Desayuno en el hotel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Día libre. Posibilidad de realizar la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visita opcional (con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de día completo de Abu Dhabi. Salida hacia Abu Dhabi; pasaremos por la zona franca de Dubái y el puerto artificial más grande del Oriente Medio llamado Jabil Ali. Llegaremos a la capital de los Emiratos Árabes  Unidos: Abu Dhabi, el Manhattan del Oriente Medio y el centro administrativo del país, pasamos por el Puente Al Maqta construido por la renombrada arquitecto Zaha Hadad,  visitar la Mezquita Grande del Sheikh Zayed construida en el año 2008,  la tercera más grande del mundo, se distingue por su magnífica arquitectura islámica y su color blanco puro; el mármol blanco cubre con todas sus fachadas y columnas que están adornadas con versículos coránicos, y continuamos hacia el corazón de la capital,  , luego entramos al barrio de los jeques llamado AL BATEEN donde se encuentren los palacios reales y el palacio residencial del actual Sheikh presidente del país; parada panorámica para apreciar hotel “Emirates Palace”, el  más lujoso del mundo, continuaremos hacia el paseo marítimo conocido como “el Corniche” donde  se pueden tomar fantásticas fotos de la isla artificial de "Lulú" y  de las torres de Etihad para dirigirnos hacia el poblado tradicional “Heritage Village. Después del almuerzo, finalizaremos nuestra visita con una breve parada en el parque temático Ferrari, el parque cubierto más grande del mundo. Por la noche, traslado al aeropuerto de Dubái para tomar vuelo con destino a Tokio,</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Noche a bordo.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06: TOKIO</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Llegada al aeropuerto de Tokio, recepción y traslado al hotel. Si el tiempo lo permite salida a descubrir Tokio. Comenzaremos el día por el encantador barrio de Asakusa para descubrir algunos lugares más destacados. Visitaremos la puerta Kaminarimon, pasearemos por la calle Nakamise, veremos el templo Sensoji y el santuario Asakusa. A continuación, pasaremos a Shibuya, el cruce más transitado del mundo. En Shibuya veremos la estatua de famosa del distrito “Hachiko”. Terminaremos nuestro día en Omotesando, la versión Tokiota de los Campos Elíseos, una zona de clase alta con las boutiques, los restaurantes sofisticados y las grandes marcas de moda.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Regreso al hotel y alojamiento.</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07: TOKIO (OPCIONAL MONTE FUJI – OSHINO HAKKAI Y GOTEMBA PREMIUM OUTLET)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Desayuno en el hotel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Día libre, con posibilidad de realizar el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tour opcional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al</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MONTE FUJI, OSHINO HAKKAI Y GOTEMBA PREMIUM OUTLET.  Monte Fuji, conocido como Fujiyama, con 3776 metros de altitud, es el símbolo de Japón. Pueblo de Oshino Hakkai fue declarado en 1934 monumento natural de Japón, en 1985 fue elegido entre los cien mejores paisajes acuáticos de Japón y en 2013 declarado Patrimonio Mundial junto al monte Fuji bajo el criterio de lugar sagrado y fuente de inspiración artística. Terminaremos nuestro día en el outlet más grande de Tokio, Gotemba Premium Outlet.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Regreso al hotel y alojamiento.</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08: TOKIO (OPCIONAL NIKKO)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Desayuno en el hotel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Día libre, con posibilidad de realizar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tour opcional (con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NIKKO. Durante nuestro día visitaremos Nikko Tosho-gu, es un santuario dedicado al general Shogun Tokugawa Leyasu como un dios de la deidad en 1617. Este santuario es un tesoro nacional. También es uno de los patrimonios culturales del mundo. El edificio del santuario está lacado y ricamente coloreado. Hay muchas esculturas en los pilares, pero estas no son solo para decoraciones, sino que también representan formas de creencia, académicos y de pensamiento. En la antigüedad, se creía que el mono protegería al caballo. Hay ocho esculturas de monos aquí, y la vida humana es caricaturas. La escultura de los tres monos "no ve mal, no oiga mal, no hable mal" es famosa. Veremos el lago Chuzenji y la cascada de Kegon. Hay 48 cascadas en Nikko. La más famosa es la cascada de Kegon. El agua del lago Chuzenji cae en un muelle de 97 metros de altura. Es una cascada muy magnífica. Se puede ver la magnífica cascada y el verde fresco juntos en la primavera. En invierno, la cascada delgada se congela y toda la cascada está coloreada con hielo azul. Podrás disfrutar de diferentes expresiones para cada temporada.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Regreso al hotel y alojamiento.</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09: TOKIO – OSAKA (OPCIONAL OSAKA CON METRO)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Desayuno en el hotel.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 la hora indicada salida por carretera hacia Osaka con las maletas. A la llegada, realizaremos un tour de la ciudad de Osaka, la segunda ciudad más grande de Japón con 17 millones de habitantes. Visitaremos el Castillo de Osaka, construido en el siglo XVI y uno de los ejemplos más bellos de la arquitectura japonesa. Posibilidad de realizar el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tour opcional (con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OSAKA CON METRO. Visitaremos la zona de Shinsaibashi, que antiguamente era un distrito teatral y hoy se caracteriza por su atmósfera excéntrica y sus grandes letreros luminosos, siendo un centro popular de vida nocturna. Realizaremos un paseo en barco por el canal Dotonbori, uno de los seis canales formados por el río Ota. Después del paseo en barco, degustaremos Takoyaki, un popular bocadillo callejero de Osaka.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Regreso al hotel y alojamiento.</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10: OSAKA (OPCIONAL KIOTO)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Desayuno en el hotel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Día libre, posibilidad de realizar el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tour opcional (con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KIOTO. Visitaremos El Kinkaku-ji, probablemente el templo más famoso de Japón. Este templo está considerado Patrimonio de la Humanidad por la UNESCO. Kinkaku-ji es conocido como “El Pabellón Dorado” por una razón muy especial: sus dos plantas superiores están cubiertas de pan de oro. Su brillante superficie se refleja en el “lago del espejo”. Pasaremos por Arashiyama, desde donde caminaremos hacia el bosque de bambú, una de las zonas naturales de Kioto. Veremos El Santuario Fushimi Inari, considerado como una de las principales atracciones turísticas de Japón. En el santuario Fushimi Inari, hay un sendero rojo y naranja que está compuesto de miles de puertas torii. Este camino se extiende y serpentea a lo largo de la montaña, filtrando la luz del sol que se va reflejando en ti mientras avanzas. Terminaremos nuestro día al Templo de Kyomizu-dera, su nombre se traduce literalmente como “Templo de agua pura”, fue fundado en el año 780. Sus estructuras actuales se erigieron en 1633. Originalmente, se asoció con una de las escuelas más antiguas del budismo japonés.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Regreso al hotel y alojamiento.</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11: OSAKA – TOKIO (OPCIONAL HIROSHIMA)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Desayuno en el hotel.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Día libre para realizar actividades personales. Posibilidad de realizar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visita opcional (con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HIROSHIMA. Visitaremos el Parque Conmemorativo de la Paz, construido en 1954, está dedicado al legado de Hiroshima como la primera ciudad en sufrir un ataque nuclear en 1945 durante la segunda guerra mundial y a la memoria de todas las víctimas de la bomba. El monumento más conocido es la Cúpula de la Bomba Atómica. La historia se cuenta detalladamente en el Museo de la Paz. A corta distancia en ferri desde el continente de Hiroshima, está ubicada la isla Miyajima. En la isla se encuentra el maravilloso Santuario Itsukushima con su enorme puerta sagrada Torii de madera rojo y se ve como si flotara en el agua cuando sube la marea.   A la hora indicada traslado de Shin-Osaka a Tokio sin guía en el Shinkansen Nozomi y traslado de la estación de Tokio al hotel.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Alojamiento.</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12: TOKIO – DUBÁI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Desayuno en el hotel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Día libre para realizar actividades personales. Por la noche traslado al aeropuerto para tomar vuelo con destino a Dubái.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Noche a bordo.</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13: DUBÁI (OPCIONAL MUSEO DEL FUTURO)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Llegada al aeropuerto de Dubái y traslado al hotel. Día libre para realizar actividades personales. Posibilidad de realizar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excursión opcional (con costo adicional)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 Museo del Futuro, un museo que intenta transformar el mundo en lugar de contar una historia del pasado con esta entrada al Museo del Futuro de Dubái. Visita este emblemático edificio que es una de las estructuras arquitectónicas más complejas del mundo. Pasa por este espacio único que alberga varios entornos futuros inmersivos que pretenden situar a los visitantes en una versión potenciadora del futuro. Explora el futuro de los viajes espaciales, el cambio climático, la salud, el bienestar y la espiritualidad. Aprende sobre los campos de la robótica y la inteligencia artificial. Descubre las posibilidades de conceptos como el aumento humano. Observa cómo la educación, las ciudades inteligentes, la energía y el transporte pueden transformarse. Por la noche traslado al aeropuerto para abordar vuelo con destino a la Ciudad de México.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DÍA 14: DUBÁI – MÉXICO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Abordaje de vuelo con destino a la Ciudad de México. Llegada a México por la tarde.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FIN DE NUESTROS SERVICIOS---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cc9900"/>
          <w:sz w:val="20"/>
          <w:szCs w:val="20"/>
          <w:u w:val="none"/>
        </w:rPr>
      </w:pPr>
      <w:r w:rsidDel="00000000" w:rsidR="00000000" w:rsidRPr="00000000">
        <w:rPr>
          <w:rFonts w:ascii="Calibri" w:cs="Calibri" w:eastAsia="Calibri" w:hAnsi="Calibri"/>
          <w:b w:val="1"/>
          <w:bCs w:val="1"/>
          <w:i w:val="0"/>
          <w:iCs w:val="0"/>
          <w:smallCaps w:val="0"/>
          <w:strike w:val="0"/>
          <w:color w:val="cc9900"/>
          <w:sz w:val="20"/>
          <w:szCs w:val="20"/>
          <w:u w:val="none"/>
          <w:shd w:fill="auto" w:val="clear"/>
          <w:vertAlign w:val="baseline"/>
          <w:rtl w:val="0"/>
        </w:rPr>
        <w:t xml:space="preserve">PRECIO EN DOLARES (USD) POR PERSONA EN OCUPACIÓN SELECCIONADA:</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4957.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98"/>
        <w:gridCol w:w="1959"/>
        <w:tblGridChange w:id="0">
          <w:tblGrid>
            <w:gridCol w:w="2998"/>
            <w:gridCol w:w="1959"/>
          </w:tblGrid>
        </w:tblGridChange>
      </w:tblGrid>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OCUPACIÓN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PRECIO EN USD</w:t>
            </w:r>
            <w:r w:rsidDel="00000000" w:rsidR="00000000" w:rsidRPr="00000000">
              <w:rPr>
                <w:rtl w:val="0"/>
              </w:rPr>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cc9900" w:val="clear"/>
            <w:tcMar>
              <w:top w:w="80.0" w:type="dxa"/>
              <w:left w:w="80.0" w:type="dxa"/>
              <w:bottom w:w="80.0" w:type="dxa"/>
              <w:right w:w="80.0" w:type="dxa"/>
            </w:tcMa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DOBLE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9900" w:val="clear"/>
            <w:tcMar>
              <w:top w:w="80.0" w:type="dxa"/>
              <w:left w:w="80.0" w:type="dxa"/>
              <w:bottom w:w="80.0" w:type="dxa"/>
              <w:right w:w="80.0" w:type="dxa"/>
            </w:tcMa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1’699 USD</w:t>
            </w:r>
            <w:r w:rsidDel="00000000" w:rsidR="00000000" w:rsidRPr="00000000">
              <w:rPr>
                <w:rtl w:val="0"/>
              </w:rPr>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SENCILLA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CONSULTAR</w:t>
            </w:r>
            <w:r w:rsidDel="00000000" w:rsidR="00000000" w:rsidRPr="00000000">
              <w:rPr>
                <w:rtl w:val="0"/>
              </w:rPr>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MENORES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CONSULTAR</w:t>
            </w:r>
            <w:r w:rsidDel="00000000" w:rsidR="00000000" w:rsidRPr="00000000">
              <w:rPr>
                <w:rtl w:val="0"/>
              </w:rPr>
            </w:r>
          </w:p>
        </w:tc>
      </w:tr>
    </w:tbl>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both"/>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NOTA:</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Precios informativos en dólares americanos pagaderos en pesos mexicanos al tipo de cambio del día de pago. Al momento de confirmar la disponibilidad y reserva, la cotización se les entrega con la tarifa aplicable e impuestos incluidos.</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NOTAS: </w:t>
      </w:r>
    </w:p>
    <w:p w:rsidR="00000000" w:rsidDel="00000000" w:rsidP="00000000" w:rsidRDefault="00000000" w:rsidRPr="00000000" w14:paraId="000000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87" w:right="0" w:hanging="327"/>
        <w:jc w:val="left"/>
        <w:rPr>
          <w:color w:val="000000"/>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Podría alterarse el itinerario sin afectar las visitas ni el contenido de estas, en lo terrestre y en lo marítimo. </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 recorridos pueden variar por cierres de museos o temas operación cierres en el centro histórico sin previo aviso en lo terrestre o en lo marítimo.</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Viajares World Travel Experiences no se hace responsable de ningún accidente, incidencias como: robo de documentos u objetos de valor, asaltos, mal servicio, etc., que deriven de la contratación de excursiones opcionales a través de un operador directo en destino o por cuenta propia del pasajero.</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 programas operan con un mínimo de 20 pasajeros, en caso de no cubrir se podrá cancelar la salida y se ofrecerá una fecha alternativa.  </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 caso de afectación de vuelo que genere una noche adicional en cualquiera de los destinos. Se cobrarán 100 USD por pasajero, por noche de hospedaje y traslados requeridos a pagar en destino.</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 vuelos de las aerolíneas están sujetos a cambio sin previo aviso, por lo que Viajares World Travel Experiences no es responsable por las afectaciones y gastos que lleguen a generarse por dichos cambios.</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NOTA: (TRÁMITE PERSONAL)</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Para el ingreso a Japón se recomienda ampliamente usar el sistema Visit Japan Web antes del vuelo. Este permite: (</w:t>
      </w:r>
      <w:hyperlink r:id="rId10">
        <w:r w:rsidDel="00000000" w:rsidR="00000000" w:rsidRPr="00000000">
          <w:rPr>
            <w:rFonts w:ascii="Calibri" w:cs="Calibri" w:eastAsia="Calibri" w:hAnsi="Calibri"/>
            <w:b w:val="0"/>
            <w:bCs w:val="0"/>
            <w:i w:val="0"/>
            <w:iCs w:val="0"/>
            <w:smallCaps w:val="0"/>
            <w:strike w:val="0"/>
            <w:color w:val="467886"/>
            <w:sz w:val="22"/>
            <w:szCs w:val="22"/>
            <w:u w:val="single"/>
            <w:shd w:fill="auto" w:val="clear"/>
            <w:vertAlign w:val="baseline"/>
            <w:rtl w:val="0"/>
          </w:rPr>
          <w:t xml:space="preserve">https://services.digital.go.jp/en/visit-japan-web/</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Completar los trámites migratorios y de aduana con anticipación</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Obtener un código QR</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Agilizar el ingreso en el aeropuerto</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 ciudadanos mexicanos están exentos de visa para estancias cortas (hasta 90 días) y pueden usar el sistema Visit Japan Web como cualquier otro viajero elegible. </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Las personas con pasaporte mexicano pueden entrar a Japón sin el código QR, llenando los formularios de inmigración y aduana en papel al llegar.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cc99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cc9900"/>
          <w:sz w:val="20"/>
          <w:szCs w:val="20"/>
          <w:u w:val="none"/>
          <w:shd w:fill="auto" w:val="clear"/>
          <w:vertAlign w:val="baseline"/>
          <w:rtl w:val="0"/>
        </w:rPr>
        <w:t xml:space="preserve">INCLUYE</w:t>
      </w:r>
    </w:p>
    <w:p w:rsidR="00000000" w:rsidDel="00000000" w:rsidP="00000000" w:rsidRDefault="00000000" w:rsidRPr="00000000" w14:paraId="0000005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Vuelo redondo internacional México – Dubái – México.  </w:t>
      </w:r>
    </w:p>
    <w:p w:rsidR="00000000" w:rsidDel="00000000" w:rsidP="00000000" w:rsidRDefault="00000000" w:rsidRPr="00000000" w14:paraId="0000005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Vuelo internacional Dubái – Tokio – Dubái.</w:t>
      </w:r>
    </w:p>
    <w:p w:rsidR="00000000" w:rsidDel="00000000" w:rsidP="00000000" w:rsidRDefault="00000000" w:rsidRPr="00000000" w14:paraId="0000005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04 noches de alojamiento en Dubái. </w:t>
      </w:r>
    </w:p>
    <w:p w:rsidR="00000000" w:rsidDel="00000000" w:rsidP="00000000" w:rsidRDefault="00000000" w:rsidRPr="00000000" w14:paraId="0000005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04 noches de alojamiento en Tokio. </w:t>
      </w:r>
    </w:p>
    <w:p w:rsidR="00000000" w:rsidDel="00000000" w:rsidP="00000000" w:rsidRDefault="00000000" w:rsidRPr="00000000" w14:paraId="0000005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02 noches de alojamiento en Osaka. </w:t>
      </w:r>
    </w:p>
    <w:p w:rsidR="00000000" w:rsidDel="00000000" w:rsidP="00000000" w:rsidRDefault="00000000" w:rsidRPr="00000000" w14:paraId="0000005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Régimen alimenticio según itinerario. </w:t>
      </w:r>
    </w:p>
    <w:p w:rsidR="00000000" w:rsidDel="00000000" w:rsidP="00000000" w:rsidRDefault="00000000" w:rsidRPr="00000000" w14:paraId="000000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Traslados aeropuerto – hotel – aeropuerto.</w:t>
      </w:r>
    </w:p>
    <w:p w:rsidR="00000000" w:rsidDel="00000000" w:rsidP="00000000" w:rsidRDefault="00000000" w:rsidRPr="00000000" w14:paraId="000000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Guía profesional de habla hispana.</w:t>
      </w:r>
    </w:p>
    <w:p w:rsidR="00000000" w:rsidDel="00000000" w:rsidP="00000000" w:rsidRDefault="00000000" w:rsidRPr="00000000" w14:paraId="0000005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Visitas incluidas según itinerario.</w:t>
      </w:r>
    </w:p>
    <w:p w:rsidR="00000000" w:rsidDel="00000000" w:rsidP="00000000" w:rsidRDefault="00000000" w:rsidRPr="00000000" w14:paraId="000000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Mochila de Viaje.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cc99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cc9900"/>
          <w:sz w:val="20"/>
          <w:szCs w:val="20"/>
          <w:u w:val="none"/>
          <w:shd w:fill="auto" w:val="clear"/>
          <w:vertAlign w:val="baseline"/>
          <w:rtl w:val="0"/>
        </w:rPr>
        <w:t xml:space="preserve">NO INCLUYE</w:t>
      </w:r>
    </w:p>
    <w:p w:rsidR="00000000" w:rsidDel="00000000" w:rsidP="00000000" w:rsidRDefault="00000000" w:rsidRPr="00000000" w14:paraId="0000005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color w:val="000000"/>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none"/>
          <w:shd w:fill="fdfdfd" w:val="clear"/>
          <w:vertAlign w:val="baseline"/>
          <w:rtl w:val="0"/>
        </w:rPr>
        <w:t xml:space="preserve">Impuestos USD $1’498 </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fechas:  13 y 24 de mayo</w:t>
      </w:r>
      <w:r w:rsidDel="00000000" w:rsidR="00000000" w:rsidRPr="00000000">
        <w:rPr>
          <w:rFonts w:ascii="Calibri" w:cs="Calibri" w:eastAsia="Calibri" w:hAnsi="Calibri"/>
          <w:sz w:val="22"/>
          <w:szCs w:val="22"/>
          <w:shd w:fill="fdfdfd" w:val="clear"/>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del 2026</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Gastos personales, como el wifi, tarjeta SIM, etc. </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Gastos de taquillas o consignas para guardar equipajes en las estaciones (coin lockers).</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Actividades mencionadas como opcionales.</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Propinas en Dubái: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35 USD,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obligatorias (por persona, a pagar directamente en destino para maleteros, restaurantes y meseros).</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Propinas para guía y chofer en Dubái a voluntad.</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Tourism Dirham. (Impuesto hotelero en Dubái) Se paga directo por el pasajero al hotel por habitación por noche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15 AED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4 USD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aproximadamente)</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Gastos de visado (en caso de haberlos). Trámite personal. </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Gastos personales.</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Seguro de viaje en destino (Obligatorio tenerlo antes de su salida de México) </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cc9900"/>
          <w:sz w:val="20"/>
          <w:szCs w:val="20"/>
          <w:u w:val="none"/>
        </w:rPr>
      </w:pPr>
      <w:r w:rsidDel="00000000" w:rsidR="00000000" w:rsidRPr="00000000">
        <w:rPr>
          <w:rFonts w:ascii="Calibri" w:cs="Calibri" w:eastAsia="Calibri" w:hAnsi="Calibri"/>
          <w:b w:val="1"/>
          <w:bCs w:val="1"/>
          <w:i w:val="0"/>
          <w:iCs w:val="0"/>
          <w:smallCaps w:val="0"/>
          <w:strike w:val="0"/>
          <w:color w:val="cc9900"/>
          <w:sz w:val="20"/>
          <w:szCs w:val="20"/>
          <w:u w:val="none"/>
          <w:shd w:fill="auto" w:val="clear"/>
          <w:vertAlign w:val="baseline"/>
          <w:rtl w:val="0"/>
        </w:rPr>
        <w:t xml:space="preserve">HOTELES PREVISTOS</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bCs w:val="1"/>
          <w:i w:val="0"/>
          <w:iCs w:val="0"/>
          <w:smallCaps w:val="0"/>
          <w:strike w:val="0"/>
          <w:color w:val="002060"/>
          <w:sz w:val="18"/>
          <w:szCs w:val="18"/>
          <w:u w:val="none"/>
          <w:shd w:fill="auto" w:val="clear"/>
          <w:vertAlign w:val="baseline"/>
        </w:rPr>
      </w:pPr>
      <w:r w:rsidDel="00000000" w:rsidR="00000000" w:rsidRPr="00000000">
        <w:rPr>
          <w:rtl w:val="0"/>
        </w:rPr>
      </w:r>
    </w:p>
    <w:tbl>
      <w:tblPr>
        <w:tblStyle w:val="Table2"/>
        <w:tblW w:w="7470.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482"/>
        <w:gridCol w:w="5988"/>
        <w:tblGridChange w:id="0">
          <w:tblGrid>
            <w:gridCol w:w="1482"/>
            <w:gridCol w:w="5988"/>
          </w:tblGrid>
        </w:tblGridChange>
      </w:tblGrid>
      <w:tr>
        <w:trPr>
          <w:cantSplit w:val="0"/>
          <w:trHeight w:val="236" w:hRule="atLeast"/>
          <w:tblHeader w:val="0"/>
        </w:trPr>
        <w:tc>
          <w:tcPr>
            <w:tcBorders>
              <w:top w:color="000000" w:space="0" w:sz="0" w:val="nil"/>
              <w:left w:color="000000" w:space="0" w:sz="0" w:val="nil"/>
              <w:bottom w:color="000000" w:space="0" w:sz="0" w:val="nil"/>
              <w:right w:color="ffffff" w:space="0" w:sz="4" w:val="single"/>
            </w:tcBorders>
            <w:shd w:fill="000000" w:val="clear"/>
            <w:tcMar>
              <w:top w:w="80.0" w:type="dxa"/>
              <w:left w:w="80.0" w:type="dxa"/>
              <w:bottom w:w="80.0" w:type="dxa"/>
              <w:right w:w="80.0" w:type="dxa"/>
            </w:tcMa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CIUDAD</w:t>
            </w:r>
            <w:r w:rsidDel="00000000" w:rsidR="00000000" w:rsidRPr="00000000">
              <w:rPr>
                <w:rtl w:val="0"/>
              </w:rPr>
            </w:r>
          </w:p>
        </w:tc>
        <w:tc>
          <w:tcPr>
            <w:tcBorders>
              <w:top w:color="000000" w:space="0" w:sz="0" w:val="nil"/>
              <w:left w:color="ffffff" w:space="0" w:sz="4" w:val="single"/>
              <w:bottom w:color="000000" w:space="0" w:sz="0" w:val="nil"/>
              <w:right w:color="000000" w:space="0" w:sz="0" w:val="nil"/>
            </w:tcBorders>
            <w:shd w:fill="000000" w:val="clear"/>
            <w:tcMar>
              <w:top w:w="80.0" w:type="dxa"/>
              <w:left w:w="80.0" w:type="dxa"/>
              <w:bottom w:w="80.0" w:type="dxa"/>
              <w:right w:w="80.0" w:type="dxa"/>
            </w:tcM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HOTELES PREVISTOS O DE SIMILAR CATEGORÍA*</w:t>
            </w:r>
            <w:r w:rsidDel="00000000" w:rsidR="00000000" w:rsidRPr="00000000">
              <w:rPr>
                <w:rtl w:val="0"/>
              </w:rPr>
            </w:r>
          </w:p>
        </w:tc>
      </w:tr>
      <w:tr>
        <w:trPr>
          <w:cantSplit w:val="0"/>
          <w:trHeight w:val="231" w:hRule="atLeast"/>
          <w:tblHeader w:val="0"/>
        </w:trPr>
        <w:tc>
          <w:tcPr>
            <w:tcBorders>
              <w:top w:color="000000" w:space="0" w:sz="0" w:val="nil"/>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DUBAI</w:t>
            </w: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DONATELLO O SIMILAR  4*</w:t>
            </w:r>
            <w:r w:rsidDel="00000000" w:rsidR="00000000" w:rsidRPr="00000000">
              <w:rPr>
                <w:rtl w:val="0"/>
              </w:rPr>
            </w:r>
          </w:p>
        </w:tc>
      </w:tr>
      <w:tr>
        <w:trPr>
          <w:cantSplit w:val="0"/>
          <w:trHeight w:val="226" w:hRule="atLeast"/>
          <w:tblHeader w:val="0"/>
        </w:trPr>
        <w:tc>
          <w:tcPr>
            <w:tcBorders>
              <w:top w:color="000000" w:space="0" w:sz="4" w:val="single"/>
              <w:left w:color="000000" w:space="0" w:sz="0" w:val="nil"/>
              <w:bottom w:color="000000" w:space="0" w:sz="4" w:val="single"/>
              <w:right w:color="000000" w:space="0" w:sz="4" w:val="single"/>
            </w:tcBorders>
            <w:shd w:fill="cc9900" w:val="clear"/>
            <w:tcMar>
              <w:top w:w="80.0" w:type="dxa"/>
              <w:left w:w="80.0" w:type="dxa"/>
              <w:bottom w:w="80.0" w:type="dxa"/>
              <w:right w:w="80.0" w:type="dxa"/>
            </w:tcMar>
            <w:vAlign w:val="cente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TOKIO</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cc9900" w:val="clear"/>
            <w:tcMar>
              <w:top w:w="80.0" w:type="dxa"/>
              <w:left w:w="80.0" w:type="dxa"/>
              <w:bottom w:w="80.0" w:type="dxa"/>
              <w:right w:w="80.0" w:type="dxa"/>
            </w:tcMa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APA HOTEL TOKIO O SIMILAR 3*</w:t>
            </w:r>
            <w:r w:rsidDel="00000000" w:rsidR="00000000" w:rsidRPr="00000000">
              <w:rPr>
                <w:rtl w:val="0"/>
              </w:rPr>
            </w:r>
          </w:p>
        </w:tc>
      </w:tr>
      <w:tr>
        <w:trPr>
          <w:cantSplit w:val="0"/>
          <w:trHeight w:val="226" w:hRule="atLeast"/>
          <w:tblHeader w:val="0"/>
        </w:trPr>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OSAKA</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APA HOTEL OSAKA O SIMILAR  3*</w:t>
            </w:r>
            <w:r w:rsidDel="00000000" w:rsidR="00000000" w:rsidRPr="00000000">
              <w:rPr>
                <w:rtl w:val="0"/>
              </w:rPr>
            </w:r>
          </w:p>
        </w:tc>
      </w:tr>
    </w:tbl>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206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NOTA</w:t>
      </w:r>
      <w:r w:rsidDel="00000000" w:rsidR="00000000" w:rsidRPr="00000000">
        <w:rPr>
          <w:rFonts w:ascii="Calibri" w:cs="Calibri" w:eastAsia="Calibri" w:hAnsi="Calibri"/>
          <w:b w:val="1"/>
          <w:bCs w:val="1"/>
          <w:i w:val="1"/>
          <w:iCs w:val="1"/>
          <w:smallCaps w:val="0"/>
          <w:strike w:val="0"/>
          <w:color w:val="353535"/>
          <w:sz w:val="22"/>
          <w:szCs w:val="22"/>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Relación informativa de hoteles utilizados más frecuentemente en este circuito, pudiendo ser utilizados establecimientos similares o alternativos.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cc99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9900"/>
          <w:sz w:val="24"/>
          <w:szCs w:val="24"/>
          <w:u w:val="none"/>
          <w:shd w:fill="auto" w:val="clear"/>
          <w:vertAlign w:val="baseline"/>
          <w:rtl w:val="0"/>
        </w:rPr>
        <w:t xml:space="preserve">OPCIONALES POR DESTINO.</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cc99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cc9900"/>
          <w:sz w:val="20"/>
          <w:szCs w:val="20"/>
          <w:u w:val="none"/>
          <w:shd w:fill="auto" w:val="clear"/>
          <w:vertAlign w:val="baseline"/>
          <w:rtl w:val="0"/>
        </w:rPr>
        <w:t xml:space="preserve">OPCIONALES DE DUBÁI:</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Paquete en Emiratos Árabes Unidos 382 USD</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Incluye: </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Medio día de Visita Dubái clásico y moderno</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Subida a la Torre Kalifa piso 124 horario regular durante el tour</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Safari por el desierto con Cena BBQ </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Cena en Down Cruise por la marina </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Día completo Abu Dhabi con almuerzo</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72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OPCIONALES POR SEPARADO</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Medio día de Visita Dubái Histórico &amp; moderno sin almuerzo por persona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60 USD</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Subida a la Torre Kalifa piso 124 (hora menos transitada) con traslados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95 USD</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Día completo Abu Dhabi, entrada a mezquita Zayed con almuerzo bufet, refrescos y agua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155 USD</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Safari por el desierto – bashing Dunes – espectáculo de danza del vientre con Cena BBQ por persona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95 USD</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Cena crucero Dhow por la Marina con traslados por persona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95 USD</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0" w:line="259"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Museo del Futuro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105 USD</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0" w:line="240" w:lineRule="auto"/>
        <w:ind w:left="0" w:right="0" w:firstLine="0"/>
        <w:jc w:val="both"/>
        <w:rPr>
          <w:rFonts w:ascii="Calibri" w:cs="Calibri" w:eastAsia="Calibri" w:hAnsi="Calibri"/>
          <w:b w:val="0"/>
          <w:bCs w:val="0"/>
          <w:i w:val="0"/>
          <w:iCs w:val="0"/>
          <w:smallCaps w:val="0"/>
          <w:strike w:val="0"/>
          <w:color w:val="153d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cc9900"/>
          <w:sz w:val="20"/>
          <w:szCs w:val="20"/>
          <w:u w:val="none"/>
          <w:shd w:fill="auto" w:val="clear"/>
          <w:vertAlign w:val="baseline"/>
          <w:rtl w:val="0"/>
        </w:rPr>
        <w:t xml:space="preserve">NOTA IMPORTANTE</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87" w:right="0" w:hanging="327"/>
        <w:jc w:val="both"/>
        <w:rPr>
          <w:color w:val="000000"/>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Las visitas opcionales deberán adquirirse con 90 días antes de la fecha de salida; de lo contrario no se podrán confirmar.</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bCs w:val="1"/>
          <w:i w:val="0"/>
          <w:iCs w:val="0"/>
          <w:smallCaps w:val="0"/>
          <w:strike w:val="0"/>
          <w:color w:val="0070c0"/>
          <w:sz w:val="22"/>
          <w:szCs w:val="22"/>
          <w:u w:val="none"/>
          <w:shd w:fill="fdfdfd"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cc99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cc9900"/>
          <w:sz w:val="20"/>
          <w:szCs w:val="20"/>
          <w:u w:val="none"/>
          <w:shd w:fill="auto" w:val="clear"/>
          <w:vertAlign w:val="baseline"/>
          <w:rtl w:val="0"/>
        </w:rPr>
        <w:t xml:space="preserve">OPCIONALES EN JAPÓN: </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687" w:right="0" w:hanging="327"/>
        <w:jc w:val="both"/>
        <w:rPr>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OPCIONAL NIKKO – 225 USD (OPERA CON MÍNIMO 20 PASAJEROS)</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2"/>
          <w:szCs w:val="22"/>
          <w:highlight w:val="white"/>
          <w:u w:val="none"/>
          <w:vertAlign w:val="baseline"/>
          <w:rtl w:val="0"/>
        </w:rPr>
        <w:t xml:space="preserve">Durante nuestro día visitaremos Nikko Tosho-gu, es un santuario dedicado al general Shogun Tokugawa Leyasu como un dios de la deidad en 1617. Este santuario es un tesoro nacional. También es uno de los patrimonios culturales del mundo. El edificio del santuario está lacado y ricamente coloreado. Hay muchas esculturas en los pilares, pero estas no son solo para decoraciones, sino que también representan formas de creencia, académicos y de pensamiento. En la antigüedad, se creía que el mono protegería al caballo. Hay ocho esculturas de monos aquí, y la vida humana es caricaturas. La escultura de los tres monos "no ve mal, no oiga mal, no hable mal" es famosa. Veremos el lago Chuzenji y la cascada de Kegon. Hay 48 cascadas en Nikko. La más famosa es la cascada de Kegon. El agua del lago Chuzenji cae en un muelle de 97 metros de altura. Es una cascada muy magnífica. Se puede ver la magnífica cascada y el verde fresco juntos en la primavera. En invierno, la cascada delgada se congela y toda la cascada está coloreada con hielo azul. Podrás disfrutar de diferentes expresiones para cada temporada.</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000000"/>
          <w:sz w:val="22"/>
          <w:szCs w:val="22"/>
          <w:u w:val="none"/>
        </w:rPr>
      </w:pPr>
      <w:bookmarkStart w:colFirst="0" w:colLast="0" w:name="_s0qh6i6ug3bj" w:id="0"/>
      <w:bookmarkEnd w:id="0"/>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MONTE FUJI – HOSHINO HAKAI Y GOTEMBA PREMIUM OUTLET MEDIO DÍA 255 USD (OPERA CON MÍNIMO 20 PASAJEROS)</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Monte Fuji, conocido como Fujiyama, con 3776 metros de altitud, es el símbolo de Japón. Pueblo de Oshino Hakkai fue declarado en 1934 monumento natural de Japón, en 1985 fue elegido entre los cien mejores paisajes acuáticos de Japón y en 2013 declarado Patrimonio Mundial junto al monte Fuji bajo el criterio de lugar sagrado y fuente de inspiración artística. Terminaremos nuestro día en el outlet más grande de Tokio, Gotemba Premium Outlet.</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Calibri" w:cs="Calibri" w:eastAsia="Calibri" w:hAnsi="Calibri"/>
          <w:b w:val="1"/>
          <w:bCs w:val="1"/>
          <w:i w:val="0"/>
          <w:iCs w:val="0"/>
          <w:smallCaps w:val="0"/>
          <w:strike w:val="0"/>
          <w:color w:val="007bb8"/>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687" w:right="0" w:hanging="327"/>
        <w:jc w:val="both"/>
        <w:rPr>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OSAKA CON METRO – 130 USD (OPERA CON MÍNIMO 20 PASAJEROS)</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Visitaremos la zona de Shinsaibashi, que antiguamente era un distrito teatral y hoy se caracteriza por su atmósfera excéntrica y sus grandes letreros luminosos, siendo un centro popular de vida nocturna. Realizaremos un paseo en barco por el canal Dotonbori, uno de los seis canales formados por el río Ota. Después del paseo en barco, degustaremos Takoyaki, un popular bocadillo callejero de Osaka.</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687" w:right="0" w:hanging="327"/>
        <w:jc w:val="both"/>
        <w:rPr>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KIOTO – 195 USD (OPERA CON MÍNIMO 20 PASAJEROS) </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Visitaremos El Kinkaku-ji, probablemente el templo más famoso de Japón. Este templo está considerado Patrimonio de la Humanidad por la UNESCO. Kinkaku-ji es conocido como “el Pabellón Dorado” por una razón muy especial: sus dos plantas superiores están cubiertas de pan de oro. Su brillante superficie se refleja en el “lago del espejo”. Pasaremos por Arashiyama, desde donde caminaremos hacia el bosque de bambú, una de las zonas naturales de Kioto. Veremos El Santuario Fushimi Inari, considerado como una de las principales atracciones turísticas de Japón. En el santuario Fushimi Inari, hay un sendero rojo y naranja que está compuesto de miles de puertas torii. Este camino se extiende y serpentea a lo largo de la montaña, filtrando la luz del sol que se va reflejando en ti mientras avanzas. Terminaremos nuestro día al Templo de Kyomizu-dera, su nombre se traduce literalmente como “Templo de agua pura”, fue fundado en el año 780. Sus estructuras actuales se erigieron en 1633. Originalmente, se asoció con una de las escuelas más antiguas del budismo japonés.</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Calibri" w:cs="Calibri" w:eastAsia="Calibri" w:hAnsi="Calibri"/>
          <w:b w:val="1"/>
          <w:bCs w:val="1"/>
          <w:i w:val="0"/>
          <w:iCs w:val="0"/>
          <w:smallCaps w:val="0"/>
          <w:strike w:val="0"/>
          <w:color w:val="007bb8"/>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000000"/>
          <w:sz w:val="22"/>
          <w:szCs w:val="22"/>
          <w:u w:val="none"/>
        </w:rPr>
      </w:pPr>
      <w:bookmarkStart w:colFirst="0" w:colLast="0" w:name="_nemthv929qob" w:id="1"/>
      <w:bookmarkEnd w:id="1"/>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HIROSHIMA - MEDIO DÍA 442 USD (OPERA CON MÍNIMO 20 PASAJEROS)</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Visitaremos el Parque Conmemorativo de la Paz, construido en 1954, está dedicado al legado de Hiroshima como la primera ciudad en sufrir un ataque nuclear en 1945 durante la segunda guerra mundial y a la memoria de todas las víctimas de la bomba. El monumento más conocido es la Cúpula de la Bomba Atómica. La historia se cuenta detalladamente en el Museo de la Paz. A corta distancia en ferri desde el continente de Hiroshima, está ubicada la isla Miyajima. En la isla se encuentra el maravilloso Santuario Itsukushima con su enorme puerta sagrada Torii de madera rojo y se ve como si flotara en el agua cuando sube la marea.</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NOTA IMPORTANTE.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 caso de que la agencia minorista o leader de grupo en destino ofrezca y comercialice la venta de excursiones opcionales dentro o fuera del programa, a un precio distinto o bajo otros términos y condiciones de los que no se haya informado formalmente y con antelación. Viajares World Travel Experiences  NO se hará responsable de cualquier incidente, eventualidad o inconformidad en la que incurran los pasajeros y desarrollo del circuito en cualquiera de sus segmentos, servicios, o conjunto del programa en cualquier destino.</w:t>
      </w:r>
      <w:r w:rsidDel="00000000" w:rsidR="00000000" w:rsidRPr="00000000">
        <w:rPr>
          <w:rtl w:val="0"/>
        </w:rPr>
      </w:r>
    </w:p>
    <w:sectPr>
      <w:headerReference r:id="rId11" w:type="default"/>
      <w:footerReference r:id="rId1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yanmar Tex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18"/>
      </w:tabs>
      <w:spacing w:after="0" w:before="120" w:line="240" w:lineRule="auto"/>
      <w:ind w:left="0" w:right="0" w:firstLine="0"/>
      <w:jc w:val="both"/>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5206363</wp:posOffset>
          </wp:positionH>
          <wp:positionV relativeFrom="page">
            <wp:posOffset>208917</wp:posOffset>
          </wp:positionV>
          <wp:extent cx="2125980" cy="683895"/>
          <wp:effectExtent b="0" l="0" r="0" t="0"/>
          <wp:wrapNone/>
          <wp:docPr descr="Logotipo&#10;&#10;Descripción generada automáticamente" id="5" name="image1.png"/>
          <a:graphic>
            <a:graphicData uri="http://schemas.openxmlformats.org/drawingml/2006/picture">
              <pic:pic>
                <pic:nvPicPr>
                  <pic:cNvPr descr="Logotipo&#10;&#10;Descripción generada automáticamente" id="0" name="image1.png"/>
                  <pic:cNvPicPr preferRelativeResize="0"/>
                </pic:nvPicPr>
                <pic:blipFill>
                  <a:blip r:embed="rId1"/>
                  <a:srcRect b="0" l="0" r="0" t="0"/>
                  <a:stretch>
                    <a:fillRect/>
                  </a:stretch>
                </pic:blipFill>
                <pic:spPr>
                  <a:xfrm>
                    <a:off x="0" y="0"/>
                    <a:ext cx="2125980" cy="683895"/>
                  </a:xfrm>
                  <a:prstGeom prst="rect"/>
                  <a:ln/>
                </pic:spPr>
              </pic:pic>
            </a:graphicData>
          </a:graphic>
        </wp:anchor>
      </w:drawing>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600713</wp:posOffset>
              </wp:positionH>
              <wp:positionV relativeFrom="page">
                <wp:posOffset>478155</wp:posOffset>
              </wp:positionV>
              <wp:extent cx="4524375" cy="45678"/>
              <wp:effectExtent b="0" l="0" r="0" t="0"/>
              <wp:wrapNone/>
              <wp:docPr descr="Rectángulo redondeado" id="3" name=""/>
              <a:graphic>
                <a:graphicData uri="http://schemas.microsoft.com/office/word/2010/wordprocessingShape">
                  <wps:wsp>
                    <wps:cNvSpPr/>
                    <wps:cNvPr id="4" name="Shape 4"/>
                    <wps:spPr>
                      <a:xfrm>
                        <a:off x="3088575" y="3761924"/>
                        <a:ext cx="4514850" cy="36153"/>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600713</wp:posOffset>
              </wp:positionH>
              <wp:positionV relativeFrom="page">
                <wp:posOffset>478155</wp:posOffset>
              </wp:positionV>
              <wp:extent cx="4524375" cy="45678"/>
              <wp:effectExtent b="0" l="0" r="0" t="0"/>
              <wp:wrapNone/>
              <wp:docPr descr="Rectángulo redondeado" id="3" name="image9.png"/>
              <a:graphic>
                <a:graphicData uri="http://schemas.openxmlformats.org/drawingml/2006/picture">
                  <pic:pic>
                    <pic:nvPicPr>
                      <pic:cNvPr descr="Rectángulo redondeado" id="0" name="image9.png"/>
                      <pic:cNvPicPr preferRelativeResize="0"/>
                    </pic:nvPicPr>
                    <pic:blipFill>
                      <a:blip r:embed="rId2"/>
                      <a:srcRect/>
                      <a:stretch>
                        <a:fillRect/>
                      </a:stretch>
                    </pic:blipFill>
                    <pic:spPr>
                      <a:xfrm>
                        <a:off x="0" y="0"/>
                        <a:ext cx="4524375" cy="45678"/>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588013</wp:posOffset>
              </wp:positionH>
              <wp:positionV relativeFrom="page">
                <wp:posOffset>567056</wp:posOffset>
              </wp:positionV>
              <wp:extent cx="4524375" cy="45236"/>
              <wp:effectExtent b="0" l="0" r="0" t="0"/>
              <wp:wrapNone/>
              <wp:docPr descr="Rectángulo redondeado" id="1" name=""/>
              <a:graphic>
                <a:graphicData uri="http://schemas.microsoft.com/office/word/2010/wordprocessingShape">
                  <wps:wsp>
                    <wps:cNvSpPr/>
                    <wps:cNvPr id="2" name="Shape 2"/>
                    <wps:spPr>
                      <a:xfrm>
                        <a:off x="3088575" y="3762145"/>
                        <a:ext cx="4514850" cy="35711"/>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588013</wp:posOffset>
              </wp:positionH>
              <wp:positionV relativeFrom="page">
                <wp:posOffset>567056</wp:posOffset>
              </wp:positionV>
              <wp:extent cx="4524375" cy="45236"/>
              <wp:effectExtent b="0" l="0" r="0" t="0"/>
              <wp:wrapNone/>
              <wp:docPr descr="Rectángulo redondeado" id="1" name="image7.png"/>
              <a:graphic>
                <a:graphicData uri="http://schemas.openxmlformats.org/drawingml/2006/picture">
                  <pic:pic>
                    <pic:nvPicPr>
                      <pic:cNvPr descr="Rectángulo redondeado" id="0" name="image7.png"/>
                      <pic:cNvPicPr preferRelativeResize="0"/>
                    </pic:nvPicPr>
                    <pic:blipFill>
                      <a:blip r:embed="rId2"/>
                      <a:srcRect/>
                      <a:stretch>
                        <a:fillRect/>
                      </a:stretch>
                    </pic:blipFill>
                    <pic:spPr>
                      <a:xfrm>
                        <a:off x="0" y="0"/>
                        <a:ext cx="4524375" cy="45236"/>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456566</wp:posOffset>
          </wp:positionH>
          <wp:positionV relativeFrom="page">
            <wp:posOffset>9103995</wp:posOffset>
          </wp:positionV>
          <wp:extent cx="914400" cy="914400"/>
          <wp:effectExtent b="151268" l="151268" r="151268" t="151268"/>
          <wp:wrapNone/>
          <wp:docPr descr="Forma, Flecha&#10;&#10;Descripción generada automáticamente" id="10" name="image3.png"/>
          <a:graphic>
            <a:graphicData uri="http://schemas.openxmlformats.org/drawingml/2006/picture">
              <pic:pic>
                <pic:nvPicPr>
                  <pic:cNvPr descr="Forma, Flecha&#10;&#10;Descripción generada automáticamente" id="0" name="image3.png"/>
                  <pic:cNvPicPr preferRelativeResize="0"/>
                </pic:nvPicPr>
                <pic:blipFill>
                  <a:blip r:embed="rId3"/>
                  <a:srcRect b="0" l="0" r="0" t="0"/>
                  <a:stretch>
                    <a:fillRect/>
                  </a:stretch>
                </pic:blipFill>
                <pic:spPr>
                  <a:xfrm rot="1513817">
                    <a:off x="0" y="0"/>
                    <a:ext cx="914400" cy="914400"/>
                  </a:xfrm>
                  <a:prstGeom prst="rect"/>
                  <a:ln/>
                </pic:spPr>
              </pic:pic>
            </a:graphicData>
          </a:graphic>
        </wp:anchor>
      </w:drawing>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1553210</wp:posOffset>
              </wp:positionH>
              <wp:positionV relativeFrom="page">
                <wp:posOffset>9510395</wp:posOffset>
              </wp:positionV>
              <wp:extent cx="5788025" cy="45203"/>
              <wp:effectExtent b="0" l="0" r="0" t="0"/>
              <wp:wrapNone/>
              <wp:docPr descr="Rectángulo redondeado" id="2" name=""/>
              <a:graphic>
                <a:graphicData uri="http://schemas.microsoft.com/office/word/2010/wordprocessingShape">
                  <wps:wsp>
                    <wps:cNvSpPr/>
                    <wps:cNvPr id="3" name="Shape 3"/>
                    <wps:spPr>
                      <a:xfrm>
                        <a:off x="2456750" y="3762161"/>
                        <a:ext cx="5778500" cy="35678"/>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1553210</wp:posOffset>
              </wp:positionH>
              <wp:positionV relativeFrom="page">
                <wp:posOffset>9510395</wp:posOffset>
              </wp:positionV>
              <wp:extent cx="5788025" cy="45203"/>
              <wp:effectExtent b="0" l="0" r="0" t="0"/>
              <wp:wrapNone/>
              <wp:docPr descr="Rectángulo redondeado" id="2" name="image8.png"/>
              <a:graphic>
                <a:graphicData uri="http://schemas.openxmlformats.org/drawingml/2006/picture">
                  <pic:pic>
                    <pic:nvPicPr>
                      <pic:cNvPr descr="Rectángulo redondeado" id="0" name="image8.png"/>
                      <pic:cNvPicPr preferRelativeResize="0"/>
                    </pic:nvPicPr>
                    <pic:blipFill>
                      <a:blip r:embed="rId2"/>
                      <a:srcRect/>
                      <a:stretch>
                        <a:fillRect/>
                      </a:stretch>
                    </pic:blipFill>
                    <pic:spPr>
                      <a:xfrm>
                        <a:off x="0" y="0"/>
                        <a:ext cx="5788025" cy="45203"/>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1553210</wp:posOffset>
              </wp:positionH>
              <wp:positionV relativeFrom="page">
                <wp:posOffset>9586595</wp:posOffset>
              </wp:positionV>
              <wp:extent cx="5788025" cy="45203"/>
              <wp:effectExtent b="0" l="0" r="0" t="0"/>
              <wp:wrapNone/>
              <wp:docPr descr="Rectángulo redondeado" id="4" name=""/>
              <a:graphic>
                <a:graphicData uri="http://schemas.microsoft.com/office/word/2010/wordprocessingShape">
                  <wps:wsp>
                    <wps:cNvSpPr/>
                    <wps:cNvPr id="5" name="Shape 5"/>
                    <wps:spPr>
                      <a:xfrm>
                        <a:off x="2456750" y="3762161"/>
                        <a:ext cx="5778500" cy="35678"/>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1553210</wp:posOffset>
              </wp:positionH>
              <wp:positionV relativeFrom="page">
                <wp:posOffset>9586595</wp:posOffset>
              </wp:positionV>
              <wp:extent cx="5788025" cy="45203"/>
              <wp:effectExtent b="0" l="0" r="0" t="0"/>
              <wp:wrapNone/>
              <wp:docPr descr="Rectángulo redondeado" id="4" name="image10.png"/>
              <a:graphic>
                <a:graphicData uri="http://schemas.openxmlformats.org/drawingml/2006/picture">
                  <pic:pic>
                    <pic:nvPicPr>
                      <pic:cNvPr descr="Rectángulo redondeado" id="0" name="image10.png"/>
                      <pic:cNvPicPr preferRelativeResize="0"/>
                    </pic:nvPicPr>
                    <pic:blipFill>
                      <a:blip r:embed="rId2"/>
                      <a:srcRect/>
                      <a:stretch>
                        <a:fillRect/>
                      </a:stretch>
                    </pic:blipFill>
                    <pic:spPr>
                      <a:xfrm>
                        <a:off x="0" y="0"/>
                        <a:ext cx="5788025" cy="45203"/>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68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1">
      <w:start w:val="1"/>
      <w:numFmt w:val="bullet"/>
      <w:lvlText w:val="o"/>
      <w:lvlJc w:val="left"/>
      <w:pPr>
        <w:ind w:left="1407" w:hanging="327.0000000000002"/>
      </w:pPr>
      <w:rPr>
        <w:rFonts w:ascii="Helvetica Neue" w:cs="Helvetica Neue" w:eastAsia="Helvetica Neue" w:hAnsi="Helvetica Neue"/>
        <w:b w:val="0"/>
        <w:bCs w:val="0"/>
        <w:i w:val="0"/>
        <w:iCs w:val="0"/>
        <w:smallCaps w:val="0"/>
        <w:strike w:val="0"/>
        <w:sz w:val="20"/>
        <w:szCs w:val="20"/>
        <w:shd w:fill="auto" w:val="clear"/>
        <w:vertAlign w:val="baseline"/>
      </w:rPr>
    </w:lvl>
    <w:lvl w:ilvl="2">
      <w:start w:val="1"/>
      <w:numFmt w:val="bullet"/>
      <w:lvlText w:val="▪"/>
      <w:lvlJc w:val="left"/>
      <w:pPr>
        <w:ind w:left="2127" w:hanging="327"/>
      </w:pPr>
      <w:rPr>
        <w:rFonts w:ascii="Arimo" w:cs="Arimo" w:eastAsia="Arimo" w:hAnsi="Arimo"/>
        <w:b w:val="0"/>
        <w:bCs w:val="0"/>
        <w:i w:val="0"/>
        <w:iCs w:val="0"/>
        <w:smallCaps w:val="0"/>
        <w:strike w:val="0"/>
        <w:sz w:val="20"/>
        <w:szCs w:val="20"/>
        <w:shd w:fill="auto" w:val="clear"/>
        <w:vertAlign w:val="baseline"/>
      </w:rPr>
    </w:lvl>
    <w:lvl w:ilvl="3">
      <w:start w:val="1"/>
      <w:numFmt w:val="bullet"/>
      <w:lvlText w:val="●"/>
      <w:lvlJc w:val="left"/>
      <w:pPr>
        <w:ind w:left="284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4">
      <w:start w:val="1"/>
      <w:numFmt w:val="bullet"/>
      <w:lvlText w:val="o"/>
      <w:lvlJc w:val="left"/>
      <w:pPr>
        <w:ind w:left="356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5">
      <w:start w:val="1"/>
      <w:numFmt w:val="bullet"/>
      <w:lvlText w:val="▪"/>
      <w:lvlJc w:val="left"/>
      <w:pPr>
        <w:ind w:left="4287" w:hanging="327"/>
      </w:pPr>
      <w:rPr>
        <w:rFonts w:ascii="Arimo" w:cs="Arimo" w:eastAsia="Arimo" w:hAnsi="Arimo"/>
        <w:b w:val="0"/>
        <w:bCs w:val="0"/>
        <w:i w:val="0"/>
        <w:iCs w:val="0"/>
        <w:smallCaps w:val="0"/>
        <w:strike w:val="0"/>
        <w:sz w:val="20"/>
        <w:szCs w:val="20"/>
        <w:shd w:fill="auto" w:val="clear"/>
        <w:vertAlign w:val="baseline"/>
      </w:rPr>
    </w:lvl>
    <w:lvl w:ilvl="6">
      <w:start w:val="1"/>
      <w:numFmt w:val="bullet"/>
      <w:lvlText w:val="●"/>
      <w:lvlJc w:val="left"/>
      <w:pPr>
        <w:ind w:left="500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7">
      <w:start w:val="1"/>
      <w:numFmt w:val="bullet"/>
      <w:lvlText w:val="o"/>
      <w:lvlJc w:val="left"/>
      <w:pPr>
        <w:ind w:left="572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8">
      <w:start w:val="1"/>
      <w:numFmt w:val="bullet"/>
      <w:lvlText w:val="▪"/>
      <w:lvlJc w:val="left"/>
      <w:pPr>
        <w:ind w:left="6447" w:hanging="327"/>
      </w:pPr>
      <w:rPr>
        <w:rFonts w:ascii="Arimo" w:cs="Arimo" w:eastAsia="Arimo" w:hAnsi="Arimo"/>
        <w:b w:val="0"/>
        <w:bCs w:val="0"/>
        <w:i w:val="0"/>
        <w:iCs w:val="0"/>
        <w:smallCaps w:val="0"/>
        <w:strike w:val="0"/>
        <w:sz w:val="20"/>
        <w:szCs w:val="20"/>
        <w:shd w:fill="auto" w:val="clear"/>
        <w:vertAlign w:val="baseline"/>
      </w:rPr>
    </w:lvl>
  </w:abstractNum>
  <w:abstractNum w:abstractNumId="4">
    <w:lvl w:ilvl="0">
      <w:start w:val="1"/>
      <w:numFmt w:val="bullet"/>
      <w:lvlText w:val="●"/>
      <w:lvlJc w:val="left"/>
      <w:pPr>
        <w:ind w:left="687" w:hanging="327"/>
      </w:pPr>
      <w:rPr>
        <w:rFonts w:ascii="Helvetica Neue" w:cs="Helvetica Neue" w:eastAsia="Helvetica Neue" w:hAnsi="Helvetica Neue"/>
        <w:b w:val="0"/>
        <w:bCs w:val="0"/>
        <w:i w:val="0"/>
        <w:iCs w:val="0"/>
        <w:smallCaps w:val="0"/>
        <w:strike w:val="0"/>
        <w:color w:val="000000"/>
        <w:shd w:fill="auto" w:val="clear"/>
        <w:vertAlign w:val="baseline"/>
      </w:rPr>
    </w:lvl>
    <w:lvl w:ilvl="1">
      <w:start w:val="1"/>
      <w:numFmt w:val="bullet"/>
      <w:lvlText w:val="o"/>
      <w:lvlJc w:val="left"/>
      <w:pPr>
        <w:ind w:left="1407" w:hanging="327.0000000000002"/>
      </w:pPr>
      <w:rPr>
        <w:rFonts w:ascii="Helvetica Neue" w:cs="Helvetica Neue" w:eastAsia="Helvetica Neue" w:hAnsi="Helvetica Neue"/>
        <w:b w:val="0"/>
        <w:bCs w:val="0"/>
        <w:i w:val="0"/>
        <w:iCs w:val="0"/>
        <w:smallCaps w:val="0"/>
        <w:strike w:val="0"/>
        <w:color w:val="000000"/>
        <w:sz w:val="20"/>
        <w:szCs w:val="20"/>
        <w:shd w:fill="auto" w:val="clear"/>
        <w:vertAlign w:val="baseline"/>
      </w:rPr>
    </w:lvl>
    <w:lvl w:ilvl="2">
      <w:start w:val="1"/>
      <w:numFmt w:val="bullet"/>
      <w:lvlText w:val="▪"/>
      <w:lvlJc w:val="left"/>
      <w:pPr>
        <w:ind w:left="2127" w:hanging="327"/>
      </w:pPr>
      <w:rPr>
        <w:rFonts w:ascii="Arimo" w:cs="Arimo" w:eastAsia="Arimo" w:hAnsi="Arimo"/>
        <w:b w:val="0"/>
        <w:bCs w:val="0"/>
        <w:i w:val="0"/>
        <w:iCs w:val="0"/>
        <w:smallCaps w:val="0"/>
        <w:strike w:val="0"/>
        <w:color w:val="000000"/>
        <w:sz w:val="20"/>
        <w:szCs w:val="20"/>
        <w:shd w:fill="auto" w:val="clear"/>
        <w:vertAlign w:val="baseline"/>
      </w:rPr>
    </w:lvl>
    <w:lvl w:ilvl="3">
      <w:start w:val="1"/>
      <w:numFmt w:val="bullet"/>
      <w:lvlText w:val="●"/>
      <w:lvlJc w:val="left"/>
      <w:pPr>
        <w:ind w:left="2847" w:hanging="327"/>
      </w:pPr>
      <w:rPr>
        <w:rFonts w:ascii="Helvetica Neue" w:cs="Helvetica Neue" w:eastAsia="Helvetica Neue" w:hAnsi="Helvetica Neue"/>
        <w:b w:val="0"/>
        <w:bCs w:val="0"/>
        <w:i w:val="0"/>
        <w:iCs w:val="0"/>
        <w:smallCaps w:val="0"/>
        <w:strike w:val="0"/>
        <w:color w:val="000000"/>
        <w:sz w:val="20"/>
        <w:szCs w:val="20"/>
        <w:shd w:fill="auto" w:val="clear"/>
        <w:vertAlign w:val="baseline"/>
      </w:rPr>
    </w:lvl>
    <w:lvl w:ilvl="4">
      <w:start w:val="1"/>
      <w:numFmt w:val="bullet"/>
      <w:lvlText w:val="o"/>
      <w:lvlJc w:val="left"/>
      <w:pPr>
        <w:ind w:left="3567" w:hanging="327"/>
      </w:pPr>
      <w:rPr>
        <w:rFonts w:ascii="Helvetica Neue" w:cs="Helvetica Neue" w:eastAsia="Helvetica Neue" w:hAnsi="Helvetica Neue"/>
        <w:b w:val="0"/>
        <w:bCs w:val="0"/>
        <w:i w:val="0"/>
        <w:iCs w:val="0"/>
        <w:smallCaps w:val="0"/>
        <w:strike w:val="0"/>
        <w:color w:val="000000"/>
        <w:sz w:val="20"/>
        <w:szCs w:val="20"/>
        <w:shd w:fill="auto" w:val="clear"/>
        <w:vertAlign w:val="baseline"/>
      </w:rPr>
    </w:lvl>
    <w:lvl w:ilvl="5">
      <w:start w:val="1"/>
      <w:numFmt w:val="bullet"/>
      <w:lvlText w:val="▪"/>
      <w:lvlJc w:val="left"/>
      <w:pPr>
        <w:ind w:left="4287" w:hanging="327"/>
      </w:pPr>
      <w:rPr>
        <w:rFonts w:ascii="Arimo" w:cs="Arimo" w:eastAsia="Arimo" w:hAnsi="Arimo"/>
        <w:b w:val="0"/>
        <w:bCs w:val="0"/>
        <w:i w:val="0"/>
        <w:iCs w:val="0"/>
        <w:smallCaps w:val="0"/>
        <w:strike w:val="0"/>
        <w:color w:val="000000"/>
        <w:sz w:val="20"/>
        <w:szCs w:val="20"/>
        <w:shd w:fill="auto" w:val="clear"/>
        <w:vertAlign w:val="baseline"/>
      </w:rPr>
    </w:lvl>
    <w:lvl w:ilvl="6">
      <w:start w:val="1"/>
      <w:numFmt w:val="bullet"/>
      <w:lvlText w:val="●"/>
      <w:lvlJc w:val="left"/>
      <w:pPr>
        <w:ind w:left="5007" w:hanging="327"/>
      </w:pPr>
      <w:rPr>
        <w:rFonts w:ascii="Helvetica Neue" w:cs="Helvetica Neue" w:eastAsia="Helvetica Neue" w:hAnsi="Helvetica Neue"/>
        <w:b w:val="0"/>
        <w:bCs w:val="0"/>
        <w:i w:val="0"/>
        <w:iCs w:val="0"/>
        <w:smallCaps w:val="0"/>
        <w:strike w:val="0"/>
        <w:color w:val="000000"/>
        <w:sz w:val="20"/>
        <w:szCs w:val="20"/>
        <w:shd w:fill="auto" w:val="clear"/>
        <w:vertAlign w:val="baseline"/>
      </w:rPr>
    </w:lvl>
    <w:lvl w:ilvl="7">
      <w:start w:val="1"/>
      <w:numFmt w:val="bullet"/>
      <w:lvlText w:val="o"/>
      <w:lvlJc w:val="left"/>
      <w:pPr>
        <w:ind w:left="5727" w:hanging="327"/>
      </w:pPr>
      <w:rPr>
        <w:rFonts w:ascii="Helvetica Neue" w:cs="Helvetica Neue" w:eastAsia="Helvetica Neue" w:hAnsi="Helvetica Neue"/>
        <w:b w:val="0"/>
        <w:bCs w:val="0"/>
        <w:i w:val="0"/>
        <w:iCs w:val="0"/>
        <w:smallCaps w:val="0"/>
        <w:strike w:val="0"/>
        <w:color w:val="000000"/>
        <w:sz w:val="20"/>
        <w:szCs w:val="20"/>
        <w:shd w:fill="auto" w:val="clear"/>
        <w:vertAlign w:val="baseline"/>
      </w:rPr>
    </w:lvl>
    <w:lvl w:ilvl="8">
      <w:start w:val="1"/>
      <w:numFmt w:val="bullet"/>
      <w:lvlText w:val="▪"/>
      <w:lvlJc w:val="left"/>
      <w:pPr>
        <w:ind w:left="6447" w:hanging="327"/>
      </w:pPr>
      <w:rPr>
        <w:rFonts w:ascii="Arimo" w:cs="Arimo" w:eastAsia="Arimo" w:hAnsi="Arimo"/>
        <w:b w:val="0"/>
        <w:bCs w:val="0"/>
        <w:i w:val="0"/>
        <w:iCs w:val="0"/>
        <w:smallCaps w:val="0"/>
        <w:strike w:val="0"/>
        <w:color w:val="000000"/>
        <w:sz w:val="20"/>
        <w:szCs w:val="20"/>
        <w:shd w:fill="auto" w:val="clear"/>
        <w:vertAlign w:val="baseline"/>
      </w:rPr>
    </w:lvl>
  </w:abstractNum>
  <w:abstractNum w:abstractNumId="5">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4">
      <w:start w:val="1"/>
      <w:numFmt w:val="bullet"/>
      <w:lvlText w:val="▪"/>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Arimo" w:cs="Arimo" w:eastAsia="Arimo" w:hAnsi="Arimo"/>
        <w:b w:val="0"/>
        <w:bCs w:val="0"/>
        <w:i w:val="0"/>
        <w:iCs w:val="0"/>
        <w:smallCaps w:val="0"/>
        <w:strike w:val="0"/>
        <w:shd w:fill="auto" w:val="clear"/>
        <w:vertAlign w:val="baseline"/>
      </w:rPr>
    </w:lvl>
    <w:lvl w:ilvl="7">
      <w:start w:val="1"/>
      <w:numFmt w:val="bullet"/>
      <w:lvlText w:val="▪"/>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6">
    <w:lvl w:ilvl="0">
      <w:start w:val="1"/>
      <w:numFmt w:val="bullet"/>
      <w:lvlText w:val="❖"/>
      <w:lvlJc w:val="left"/>
      <w:pPr>
        <w:ind w:left="720" w:hanging="360"/>
      </w:pPr>
      <w:rPr>
        <w:rFonts w:ascii="Arimo" w:cs="Arimo" w:eastAsia="Arimo" w:hAnsi="Arimo"/>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7">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4">
      <w:start w:val="1"/>
      <w:numFmt w:val="bullet"/>
      <w:lvlText w:val="▪"/>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Arimo" w:cs="Arimo" w:eastAsia="Arimo" w:hAnsi="Arimo"/>
        <w:b w:val="0"/>
        <w:bCs w:val="0"/>
        <w:i w:val="0"/>
        <w:iCs w:val="0"/>
        <w:smallCaps w:val="0"/>
        <w:strike w:val="0"/>
        <w:shd w:fill="auto" w:val="clear"/>
        <w:vertAlign w:val="baseline"/>
      </w:rPr>
    </w:lvl>
    <w:lvl w:ilvl="7">
      <w:start w:val="1"/>
      <w:numFmt w:val="bullet"/>
      <w:lvlText w:val="▪"/>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8">
    <w:lvl w:ilvl="0">
      <w:start w:val="1"/>
      <w:numFmt w:val="bullet"/>
      <w:lvlText w:val="●"/>
      <w:lvlJc w:val="left"/>
      <w:pPr>
        <w:ind w:left="68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1">
      <w:start w:val="1"/>
      <w:numFmt w:val="bullet"/>
      <w:lvlText w:val="o"/>
      <w:lvlJc w:val="left"/>
      <w:pPr>
        <w:ind w:left="1407" w:hanging="327.0000000000002"/>
      </w:pPr>
      <w:rPr>
        <w:rFonts w:ascii="Helvetica Neue" w:cs="Helvetica Neue" w:eastAsia="Helvetica Neue" w:hAnsi="Helvetica Neue"/>
        <w:b w:val="0"/>
        <w:bCs w:val="0"/>
        <w:i w:val="0"/>
        <w:iCs w:val="0"/>
        <w:smallCaps w:val="0"/>
        <w:strike w:val="0"/>
        <w:sz w:val="20"/>
        <w:szCs w:val="20"/>
        <w:shd w:fill="auto" w:val="clear"/>
        <w:vertAlign w:val="baseline"/>
      </w:rPr>
    </w:lvl>
    <w:lvl w:ilvl="2">
      <w:start w:val="1"/>
      <w:numFmt w:val="bullet"/>
      <w:lvlText w:val="▪"/>
      <w:lvlJc w:val="left"/>
      <w:pPr>
        <w:ind w:left="2127" w:hanging="327"/>
      </w:pPr>
      <w:rPr>
        <w:rFonts w:ascii="Arimo" w:cs="Arimo" w:eastAsia="Arimo" w:hAnsi="Arimo"/>
        <w:b w:val="0"/>
        <w:bCs w:val="0"/>
        <w:i w:val="0"/>
        <w:iCs w:val="0"/>
        <w:smallCaps w:val="0"/>
        <w:strike w:val="0"/>
        <w:sz w:val="20"/>
        <w:szCs w:val="20"/>
        <w:shd w:fill="auto" w:val="clear"/>
        <w:vertAlign w:val="baseline"/>
      </w:rPr>
    </w:lvl>
    <w:lvl w:ilvl="3">
      <w:start w:val="1"/>
      <w:numFmt w:val="bullet"/>
      <w:lvlText w:val="●"/>
      <w:lvlJc w:val="left"/>
      <w:pPr>
        <w:ind w:left="284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4">
      <w:start w:val="1"/>
      <w:numFmt w:val="bullet"/>
      <w:lvlText w:val="o"/>
      <w:lvlJc w:val="left"/>
      <w:pPr>
        <w:ind w:left="356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5">
      <w:start w:val="1"/>
      <w:numFmt w:val="bullet"/>
      <w:lvlText w:val="▪"/>
      <w:lvlJc w:val="left"/>
      <w:pPr>
        <w:ind w:left="4287" w:hanging="327"/>
      </w:pPr>
      <w:rPr>
        <w:rFonts w:ascii="Arimo" w:cs="Arimo" w:eastAsia="Arimo" w:hAnsi="Arimo"/>
        <w:b w:val="0"/>
        <w:bCs w:val="0"/>
        <w:i w:val="0"/>
        <w:iCs w:val="0"/>
        <w:smallCaps w:val="0"/>
        <w:strike w:val="0"/>
        <w:sz w:val="20"/>
        <w:szCs w:val="20"/>
        <w:shd w:fill="auto" w:val="clear"/>
        <w:vertAlign w:val="baseline"/>
      </w:rPr>
    </w:lvl>
    <w:lvl w:ilvl="6">
      <w:start w:val="1"/>
      <w:numFmt w:val="bullet"/>
      <w:lvlText w:val="●"/>
      <w:lvlJc w:val="left"/>
      <w:pPr>
        <w:ind w:left="500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7">
      <w:start w:val="1"/>
      <w:numFmt w:val="bullet"/>
      <w:lvlText w:val="o"/>
      <w:lvlJc w:val="left"/>
      <w:pPr>
        <w:ind w:left="5727" w:hanging="327"/>
      </w:pPr>
      <w:rPr>
        <w:rFonts w:ascii="Helvetica Neue" w:cs="Helvetica Neue" w:eastAsia="Helvetica Neue" w:hAnsi="Helvetica Neue"/>
        <w:b w:val="0"/>
        <w:bCs w:val="0"/>
        <w:i w:val="0"/>
        <w:iCs w:val="0"/>
        <w:smallCaps w:val="0"/>
        <w:strike w:val="0"/>
        <w:sz w:val="20"/>
        <w:szCs w:val="20"/>
        <w:shd w:fill="auto" w:val="clear"/>
        <w:vertAlign w:val="baseline"/>
      </w:rPr>
    </w:lvl>
    <w:lvl w:ilvl="8">
      <w:start w:val="1"/>
      <w:numFmt w:val="bullet"/>
      <w:lvlText w:val="▪"/>
      <w:lvlJc w:val="left"/>
      <w:pPr>
        <w:ind w:left="6447" w:hanging="327"/>
      </w:pPr>
      <w:rPr>
        <w:rFonts w:ascii="Arimo" w:cs="Arimo" w:eastAsia="Arimo" w:hAnsi="Arimo"/>
        <w:b w:val="0"/>
        <w:bCs w:val="0"/>
        <w:i w:val="0"/>
        <w:iCs w:val="0"/>
        <w:smallCaps w:val="0"/>
        <w:strike w:val="0"/>
        <w:sz w:val="20"/>
        <w:szCs w:val="20"/>
        <w:shd w:fill="auto" w:val="clear"/>
        <w:vertAlign w:val="baseline"/>
      </w:rPr>
    </w:lvl>
  </w:abstractNum>
  <w:abstractNum w:abstractNumId="9">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10">
    <w:lvl w:ilvl="0">
      <w:start w:val="1"/>
      <w:numFmt w:val="bullet"/>
      <w:lvlText w:val="•"/>
      <w:lvlJc w:val="left"/>
      <w:pPr>
        <w:ind w:left="644" w:hanging="359.99999999999994"/>
      </w:pPr>
      <w:rPr>
        <w:smallCaps w:val="0"/>
        <w:strike w:val="0"/>
        <w:shd w:fill="auto" w:val="clear"/>
        <w:vertAlign w:val="baseline"/>
      </w:rPr>
    </w:lvl>
    <w:lvl w:ilvl="1">
      <w:start w:val="1"/>
      <w:numFmt w:val="bullet"/>
      <w:lvlText w:val="o"/>
      <w:lvlJc w:val="left"/>
      <w:pPr>
        <w:ind w:left="1440" w:hanging="361"/>
      </w:pPr>
      <w:rPr>
        <w:smallCaps w:val="0"/>
        <w:strike w:val="0"/>
        <w:shd w:fill="auto" w:val="clear"/>
        <w:vertAlign w:val="baseline"/>
      </w:rPr>
    </w:lvl>
    <w:lvl w:ilvl="2">
      <w:start w:val="1"/>
      <w:numFmt w:val="bullet"/>
      <w:lvlText w:val="▪"/>
      <w:lvlJc w:val="left"/>
      <w:pPr>
        <w:ind w:left="2160" w:hanging="361"/>
      </w:pPr>
      <w:rPr>
        <w:smallCaps w:val="0"/>
        <w:strike w:val="0"/>
        <w:shd w:fill="auto" w:val="clear"/>
        <w:vertAlign w:val="baseline"/>
      </w:rPr>
    </w:lvl>
    <w:lvl w:ilvl="3">
      <w:start w:val="1"/>
      <w:numFmt w:val="bullet"/>
      <w:lvlText w:val="●"/>
      <w:lvlJc w:val="left"/>
      <w:pPr>
        <w:ind w:left="2880" w:hanging="361"/>
      </w:pPr>
      <w:rPr>
        <w:smallCaps w:val="0"/>
        <w:strike w:val="0"/>
        <w:shd w:fill="auto" w:val="clear"/>
        <w:vertAlign w:val="baseline"/>
      </w:rPr>
    </w:lvl>
    <w:lvl w:ilvl="4">
      <w:start w:val="1"/>
      <w:numFmt w:val="bullet"/>
      <w:lvlText w:val="o"/>
      <w:lvlJc w:val="left"/>
      <w:pPr>
        <w:ind w:left="3600" w:hanging="361"/>
      </w:pPr>
      <w:rPr>
        <w:smallCaps w:val="0"/>
        <w:strike w:val="0"/>
        <w:shd w:fill="auto" w:val="clear"/>
        <w:vertAlign w:val="baseline"/>
      </w:rPr>
    </w:lvl>
    <w:lvl w:ilvl="5">
      <w:start w:val="1"/>
      <w:numFmt w:val="bullet"/>
      <w:lvlText w:val="▪"/>
      <w:lvlJc w:val="left"/>
      <w:pPr>
        <w:ind w:left="4320" w:hanging="361"/>
      </w:pPr>
      <w:rPr>
        <w:smallCaps w:val="0"/>
        <w:strike w:val="0"/>
        <w:shd w:fill="auto" w:val="clear"/>
        <w:vertAlign w:val="baseline"/>
      </w:rPr>
    </w:lvl>
    <w:lvl w:ilvl="6">
      <w:start w:val="1"/>
      <w:numFmt w:val="bullet"/>
      <w:lvlText w:val="●"/>
      <w:lvlJc w:val="left"/>
      <w:pPr>
        <w:ind w:left="5040" w:hanging="361"/>
      </w:pPr>
      <w:rPr>
        <w:smallCaps w:val="0"/>
        <w:strike w:val="0"/>
        <w:shd w:fill="auto" w:val="clear"/>
        <w:vertAlign w:val="baseline"/>
      </w:rPr>
    </w:lvl>
    <w:lvl w:ilvl="7">
      <w:start w:val="1"/>
      <w:numFmt w:val="bullet"/>
      <w:lvlText w:val="o"/>
      <w:lvlJc w:val="left"/>
      <w:pPr>
        <w:ind w:left="5760" w:hanging="361"/>
      </w:pPr>
      <w:rPr>
        <w:smallCaps w:val="0"/>
        <w:strike w:val="0"/>
        <w:shd w:fill="auto" w:val="clear"/>
        <w:vertAlign w:val="baseline"/>
      </w:rPr>
    </w:lvl>
    <w:lvl w:ilvl="8">
      <w:start w:val="1"/>
      <w:numFmt w:val="bullet"/>
      <w:lvlText w:val="▪"/>
      <w:lvlJc w:val="left"/>
      <w:pPr>
        <w:ind w:left="6480" w:hanging="361"/>
      </w:pPr>
      <w:rPr>
        <w:smallCaps w:val="0"/>
        <w:strike w:val="0"/>
        <w:shd w:fill="auto" w:val="clear"/>
        <w:vertAlign w:val="baseline"/>
      </w:rPr>
    </w:lvl>
  </w:abstractNum>
  <w:abstractNum w:abstractNumId="11">
    <w:lvl w:ilvl="0">
      <w:start w:val="1"/>
      <w:numFmt w:val="bullet"/>
      <w:lvlText w:val="●"/>
      <w:lvlJc w:val="left"/>
      <w:pPr>
        <w:ind w:left="36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services.digital.go.jp/en/visit-japan-web/" TargetMode="External"/><Relationship Id="rId12" Type="http://schemas.openxmlformats.org/officeDocument/2006/relationships/footer" Target="foot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9.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